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2"/>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default" w:ascii="宋体" w:hAnsi="宋体" w:eastAsia="宋体"/>
                <w:sz w:val="21"/>
                <w:szCs w:val="21"/>
                <w:lang w:val="en-US" w:eastAsia="zh-CN"/>
              </w:rPr>
              <w:t>河南华通化工有限公司年产14000吨胶状乳化炸药生产线扩建项目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434F1171"/>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Administrator</cp:lastModifiedBy>
  <dcterms:modified xsi:type="dcterms:W3CDTF">2020-08-24T08:03:58Z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